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BA13A" w14:textId="77777777" w:rsidR="007843FE" w:rsidRDefault="007843FE" w:rsidP="00D2498A">
      <w:pPr>
        <w:pStyle w:val="RStekst"/>
      </w:pPr>
    </w:p>
    <w:p w14:paraId="5D04F148" w14:textId="77777777" w:rsidR="007843FE" w:rsidRPr="007843FE" w:rsidRDefault="007843FE" w:rsidP="007843FE">
      <w:pPr>
        <w:pStyle w:val="RStekst"/>
        <w:rPr>
          <w:b/>
        </w:rPr>
      </w:pPr>
      <w:r w:rsidRPr="007843FE">
        <w:rPr>
          <w:b/>
        </w:rPr>
        <w:t xml:space="preserve">Povzetek revizijskega poročila </w:t>
      </w:r>
      <w:r w:rsidRPr="007843FE">
        <w:rPr>
          <w:b/>
          <w:i/>
        </w:rPr>
        <w:t>Kapitalska naložba Občine Ajdovščina v družbo Mlinotest</w:t>
      </w:r>
    </w:p>
    <w:p w14:paraId="21A92E60" w14:textId="77777777" w:rsidR="007843FE" w:rsidRDefault="007843FE" w:rsidP="00D2498A">
      <w:pPr>
        <w:pStyle w:val="RStekst"/>
      </w:pPr>
    </w:p>
    <w:p w14:paraId="7264DCD5" w14:textId="77777777" w:rsidR="007843FE" w:rsidRDefault="007843FE" w:rsidP="00D2498A">
      <w:pPr>
        <w:pStyle w:val="RStekst"/>
      </w:pPr>
    </w:p>
    <w:p w14:paraId="2278CDEB" w14:textId="77777777" w:rsidR="007843FE" w:rsidRDefault="007843FE" w:rsidP="007843FE">
      <w:pPr>
        <w:pStyle w:val="RStekst"/>
        <w:rPr>
          <w:lang w:eastAsia="sl-SI"/>
        </w:rPr>
      </w:pPr>
      <w:r>
        <w:t xml:space="preserve">Računsko sodišče je revidiralo poslovanje </w:t>
      </w:r>
      <w:r>
        <w:rPr>
          <w:i/>
        </w:rPr>
        <w:t>Občine Ajdovščina</w:t>
      </w:r>
      <w:r>
        <w:t xml:space="preserve"> pri pridobitvi in ravnanju s kapitalsko naložbo v družbo </w:t>
      </w:r>
      <w:r>
        <w:rPr>
          <w:i/>
        </w:rPr>
        <w:t>Mlinotest, živilska industrija, d. d., Ajdovščina</w:t>
      </w:r>
      <w:r>
        <w:t xml:space="preserve"> (v nadaljevanju: družba Mlinotest) </w:t>
      </w:r>
      <w:r>
        <w:rPr>
          <w:rFonts w:cs="Garamond"/>
          <w:color w:val="000000"/>
          <w:szCs w:val="22"/>
          <w:lang w:eastAsia="sl-SI"/>
        </w:rPr>
        <w:t xml:space="preserve">v obdobju </w:t>
      </w:r>
      <w:r>
        <w:rPr>
          <w:lang w:eastAsia="sl-SI"/>
        </w:rPr>
        <w:t>od 1. 1. 2014 do 31. 12. 2016.</w:t>
      </w:r>
    </w:p>
    <w:p w14:paraId="0F80717D" w14:textId="77777777" w:rsidR="007843FE" w:rsidRDefault="007843FE" w:rsidP="007843FE">
      <w:pPr>
        <w:pStyle w:val="RStekst"/>
        <w:rPr>
          <w:lang w:eastAsia="sl-SI"/>
        </w:rPr>
      </w:pPr>
    </w:p>
    <w:p w14:paraId="4D8E75F7" w14:textId="77777777" w:rsidR="007843FE" w:rsidRDefault="007843FE" w:rsidP="007843FE">
      <w:pPr>
        <w:pStyle w:val="RStekst"/>
      </w:pPr>
      <w:r>
        <w:rPr>
          <w:i/>
          <w:lang w:eastAsia="sl-SI"/>
        </w:rPr>
        <w:t>Cilj revizije</w:t>
      </w:r>
      <w:r>
        <w:rPr>
          <w:b/>
          <w:lang w:eastAsia="sl-SI"/>
        </w:rPr>
        <w:t xml:space="preserve"> </w:t>
      </w:r>
      <w:r>
        <w:rPr>
          <w:lang w:eastAsia="sl-SI"/>
        </w:rPr>
        <w:t xml:space="preserve">je bil izrek mnenja o </w:t>
      </w:r>
      <w:r>
        <w:rPr>
          <w:i/>
          <w:lang w:eastAsia="sl-SI"/>
        </w:rPr>
        <w:t>pravilnosti</w:t>
      </w:r>
      <w:r>
        <w:rPr>
          <w:lang w:eastAsia="sl-SI"/>
        </w:rPr>
        <w:t xml:space="preserve"> pridobitve in </w:t>
      </w:r>
      <w:r>
        <w:rPr>
          <w:i/>
          <w:lang w:eastAsia="sl-SI"/>
        </w:rPr>
        <w:t>učinkovitosti</w:t>
      </w:r>
      <w:r>
        <w:rPr>
          <w:lang w:eastAsia="sl-SI"/>
        </w:rPr>
        <w:t xml:space="preserve"> ravnanja Občine Ajdovščina s kapitalsko naložbo v družbo Mlinotest. Glede </w:t>
      </w:r>
      <w:r>
        <w:rPr>
          <w:i/>
          <w:lang w:eastAsia="sl-SI"/>
        </w:rPr>
        <w:t>pravilnosti poslovanja</w:t>
      </w:r>
      <w:r>
        <w:rPr>
          <w:lang w:eastAsia="sl-SI"/>
        </w:rPr>
        <w:t xml:space="preserve"> Občine Ajdovščina pri pridobitvi kapitalske naložbe v družbo Mlinotest je računsko sodišče ocenilo, da je bilo </w:t>
      </w:r>
      <w:r>
        <w:rPr>
          <w:rFonts w:cs="Garamond"/>
          <w:color w:val="000000"/>
          <w:szCs w:val="22"/>
          <w:lang w:eastAsia="sl-SI"/>
        </w:rPr>
        <w:t xml:space="preserve">v pomembnem neskladju s predpisi, zato je Občini Ajdovščina izreklo </w:t>
      </w:r>
      <w:r>
        <w:rPr>
          <w:rFonts w:cs="Garamond"/>
          <w:i/>
          <w:color w:val="000000"/>
          <w:szCs w:val="22"/>
          <w:lang w:eastAsia="sl-SI"/>
        </w:rPr>
        <w:t>negativno mnenje</w:t>
      </w:r>
      <w:r>
        <w:rPr>
          <w:lang w:eastAsia="sl-SI"/>
        </w:rPr>
        <w:t xml:space="preserve">. Glede </w:t>
      </w:r>
      <w:r>
        <w:rPr>
          <w:i/>
          <w:lang w:eastAsia="sl-SI"/>
        </w:rPr>
        <w:t>učinkovitosti poslovanja</w:t>
      </w:r>
      <w:r>
        <w:rPr>
          <w:lang w:eastAsia="sl-SI"/>
        </w:rPr>
        <w:t xml:space="preserve"> Občine Ajdovščina pri ravnanju s to kapitalsko naložbo na področju načrtovanja, izvajanja, spremljanja in nadziranja naložbene politike pa je računsko sodišče Občini Ajdovščina izreklo </w:t>
      </w:r>
      <w:r>
        <w:t xml:space="preserve">mnenje, da je bilo poslovanje Občine Ajdovščina </w:t>
      </w:r>
      <w:r>
        <w:rPr>
          <w:i/>
        </w:rPr>
        <w:t>delno učinkovito</w:t>
      </w:r>
      <w:r>
        <w:t>.</w:t>
      </w:r>
    </w:p>
    <w:p w14:paraId="6D506F5A" w14:textId="77777777" w:rsidR="007843FE" w:rsidRDefault="007843FE" w:rsidP="007843FE">
      <w:pPr>
        <w:pStyle w:val="RStekst"/>
      </w:pPr>
    </w:p>
    <w:p w14:paraId="41CCBBBE" w14:textId="77777777" w:rsidR="007843FE" w:rsidRDefault="007843FE" w:rsidP="007843FE">
      <w:pPr>
        <w:pStyle w:val="RStekst"/>
        <w:rPr>
          <w:lang w:eastAsia="sl-SI"/>
        </w:rPr>
      </w:pPr>
      <w:r>
        <w:rPr>
          <w:lang w:eastAsia="sl-SI"/>
        </w:rPr>
        <w:t xml:space="preserve">Računsko sodišče je ocenilo, da </w:t>
      </w:r>
      <w:r>
        <w:t xml:space="preserve">Občina Ajdovščina </w:t>
      </w:r>
      <w:r>
        <w:rPr>
          <w:lang w:eastAsia="sl-SI"/>
        </w:rPr>
        <w:t xml:space="preserve">s pridobitvijo delnic družbe Mlinotest </w:t>
      </w:r>
      <w:r>
        <w:rPr>
          <w:i/>
        </w:rPr>
        <w:t>ni zaščitila občinskih interesov</w:t>
      </w:r>
      <w:r>
        <w:t>,</w:t>
      </w:r>
      <w:r>
        <w:rPr>
          <w:lang w:eastAsia="sl-SI"/>
        </w:rPr>
        <w:t xml:space="preserve"> ki bi v povezavi z drugim odstavkom 67. člena Zakona o javnih financah in 6. členom Zakona o gospodarskih javnih službah morali biti povezani z izvajanjem javnih služb oziroma v povezavi z 2. členom Zakona o lokalni samoupravi ter prvim in drugim odstavkom 21. člena Zakona o lokalni samoupravi z opravljanjem nalog občine, kar ni v skladu z drugim odstavkom 73. člena Zakona o javnih financah.</w:t>
      </w:r>
    </w:p>
    <w:p w14:paraId="664B3F03" w14:textId="77777777" w:rsidR="007843FE" w:rsidRDefault="007843FE" w:rsidP="007843FE">
      <w:pPr>
        <w:pStyle w:val="RStekst"/>
      </w:pPr>
    </w:p>
    <w:p w14:paraId="6FBD51DE" w14:textId="77777777" w:rsidR="007843FE" w:rsidRDefault="007843FE" w:rsidP="007843FE">
      <w:pPr>
        <w:pStyle w:val="RStekst"/>
      </w:pPr>
      <w:r>
        <w:rPr>
          <w:lang w:eastAsia="sl-SI"/>
        </w:rPr>
        <w:t xml:space="preserve">Računsko sodišče je ugotovilo, da v zvezi s kapitalsko naložbo v družbo Mlinotest pri </w:t>
      </w:r>
      <w:r>
        <w:rPr>
          <w:i/>
        </w:rPr>
        <w:t xml:space="preserve">načrtovanju naložbene politike </w:t>
      </w:r>
      <w:r>
        <w:t xml:space="preserve">Občina Ajdovščina ni sprejela strategije upravljanja s kapitalskimi naložbami, in ni določila ciljev in načinov doseganja ciljev upravljanja s kapitalskimi naložbami ter niti kaj namerava z naložbami, ko bodo </w:t>
      </w:r>
      <w:r w:rsidRPr="003771BE">
        <w:rPr>
          <w:spacing w:val="-2"/>
        </w:rPr>
        <w:t>cilji doseženi. Ne glede na odsotnost strategije upravljanja s kapitalskimi naložbami pa je Občina Ajdovščina</w:t>
      </w:r>
      <w:r>
        <w:t xml:space="preserve"> pred nakupom kapitalske naložbe v družbo Mlinotest pridobila študijo o utemeljenosti občinskega interesa, ki je izkazovala ekonomsko upravičenost naložbe. Na področju </w:t>
      </w:r>
      <w:r>
        <w:rPr>
          <w:i/>
        </w:rPr>
        <w:t xml:space="preserve">izvajanja naložbene politike </w:t>
      </w:r>
      <w:r>
        <w:rPr>
          <w:lang w:eastAsia="sl-SI"/>
        </w:rPr>
        <w:t xml:space="preserve">je računsko sodišče ugotovilo, da je Občina Ajdovščina </w:t>
      </w:r>
      <w:r>
        <w:t xml:space="preserve">z načinom pridobitve delnic družbe Mlinotest vplivala na delovanje trga. Občina Ajdovščina </w:t>
      </w:r>
      <w:r>
        <w:rPr>
          <w:lang w:eastAsia="sl-SI"/>
        </w:rPr>
        <w:t xml:space="preserve">ni določila načina spremljanja uspešnosti poslovanja družbe Mlinotest, ni preverjala poslovanja družbe Mlinotest in </w:t>
      </w:r>
      <w:r>
        <w:t>ni imela odločujočega (prevladujočega) vpliva na upravljanje družbe Mlinotest, je pa zaradi sklenitve delničarskega sporazuma skupaj z družbo </w:t>
      </w:r>
      <w:proofErr w:type="spellStart"/>
      <w:r>
        <w:t>Mlino</w:t>
      </w:r>
      <w:proofErr w:type="spellEnd"/>
      <w:r>
        <w:t xml:space="preserve">, </w:t>
      </w:r>
      <w:r>
        <w:rPr>
          <w:szCs w:val="22"/>
        </w:rPr>
        <w:t>družba za upravljanje z naložbami, d. o. o., Ajdovščina</w:t>
      </w:r>
      <w:r>
        <w:t xml:space="preserve"> lahko </w:t>
      </w:r>
      <w:r>
        <w:rPr>
          <w:rFonts w:cs="Garamond"/>
          <w:color w:val="000000"/>
          <w:szCs w:val="22"/>
          <w:lang w:eastAsia="sl-SI"/>
        </w:rPr>
        <w:t>vplivala na nesprejetje (veto) ključnih odločitev skupščine družbe Mlinotest.</w:t>
      </w:r>
      <w:r>
        <w:t xml:space="preserve"> Računsko sodišče je ocenilo, da je Občina Ajdovščina </w:t>
      </w:r>
      <w:r>
        <w:rPr>
          <w:rFonts w:cs="Garamond"/>
          <w:color w:val="000000"/>
          <w:szCs w:val="22"/>
          <w:lang w:eastAsia="sl-SI"/>
        </w:rPr>
        <w:t xml:space="preserve">s pridobitvijo 6,2-odstotnega manjšinskega deleža lastništva v družbi Mlinotest sodelovala s prevzemnikom, družbo </w:t>
      </w:r>
      <w:proofErr w:type="spellStart"/>
      <w:r>
        <w:rPr>
          <w:rFonts w:cs="Garamond"/>
          <w:color w:val="000000"/>
          <w:szCs w:val="22"/>
          <w:lang w:eastAsia="sl-SI"/>
        </w:rPr>
        <w:t>Mlino</w:t>
      </w:r>
      <w:proofErr w:type="spellEnd"/>
      <w:r>
        <w:rPr>
          <w:szCs w:val="22"/>
        </w:rPr>
        <w:t>, družba za upravljanje z naložbami, d. o. o., Ajdovščina</w:t>
      </w:r>
      <w:r>
        <w:rPr>
          <w:rFonts w:cs="Garamond"/>
          <w:color w:val="000000"/>
          <w:szCs w:val="22"/>
          <w:lang w:eastAsia="sl-SI"/>
        </w:rPr>
        <w:t>, pri izvedbi prevzema družbe Mlinotest, kar po oceni računskega sodišča predstavlja nedopusten namen pridobitve kapitalskega deleža občine v gospodarski družbi.</w:t>
      </w:r>
      <w:r>
        <w:t xml:space="preserve"> Na področju </w:t>
      </w:r>
      <w:r>
        <w:rPr>
          <w:i/>
        </w:rPr>
        <w:t>spremljanja izvajanja naložbene politike</w:t>
      </w:r>
      <w:r>
        <w:rPr>
          <w:lang w:eastAsia="sl-SI"/>
        </w:rPr>
        <w:t xml:space="preserve"> je računsko sodišče ugotovilo, da je </w:t>
      </w:r>
      <w:r>
        <w:t xml:space="preserve">Občina Ajdovščina poročala občinskemu svetu o pridobitvi naložbe v družbo Mlinotest, ni pa poročala občinskemu svetu o upravljanju s kapitalsko naložbo po njeni pridobitvi. Na področju </w:t>
      </w:r>
      <w:r>
        <w:rPr>
          <w:i/>
        </w:rPr>
        <w:t>nadziranja izvajanja naložbene politike</w:t>
      </w:r>
      <w:r>
        <w:rPr>
          <w:lang w:eastAsia="sl-SI"/>
        </w:rPr>
        <w:t xml:space="preserve"> je računsko sodišče ugotovilo, da</w:t>
      </w:r>
      <w:r>
        <w:rPr>
          <w:i/>
        </w:rPr>
        <w:t xml:space="preserve"> </w:t>
      </w:r>
      <w:r>
        <w:t xml:space="preserve">v programe dela nadzornega odbora, ki vsebujejo letne nadzorne programe, ni bil vključen nadzor nad upravljanjem s kapitalsko naložbo v družbo Mlinotest, </w:t>
      </w:r>
      <w:r>
        <w:rPr>
          <w:lang w:eastAsia="sl-SI"/>
        </w:rPr>
        <w:t xml:space="preserve">čeprav je ta naložba predstavljala </w:t>
      </w:r>
      <w:r>
        <w:t xml:space="preserve">materialno pomembno naložbo. Zaradi tega nadzorni odbor ni presojal pravilnosti ali smotrnosti upravljanja s to kapitalsko naložbo ter ni predlagal morebitnih rešitev za izboljšanje upravljanja. </w:t>
      </w:r>
    </w:p>
    <w:p w14:paraId="48ED4549" w14:textId="77777777" w:rsidR="007843FE" w:rsidRDefault="007843FE" w:rsidP="007843FE">
      <w:pPr>
        <w:pStyle w:val="RStekst"/>
      </w:pPr>
      <w:r>
        <w:lastRenderedPageBreak/>
        <w:t xml:space="preserve">Računsko sodišče je za izboljšanje poslovanja Občine Ajdovščina na področju poslovanja s kapitalskimi naložbami podalo </w:t>
      </w:r>
      <w:r>
        <w:rPr>
          <w:i/>
        </w:rPr>
        <w:t xml:space="preserve">priporočilo </w:t>
      </w:r>
      <w:r>
        <w:t xml:space="preserve">za izboljšanje poslovanja, ni pa zahtevalo predložitve odzivnega poročila, saj je Občina Ajdovščina med revizijskim postopkom sprejela ustrezne </w:t>
      </w:r>
      <w:r w:rsidRPr="007E1380">
        <w:t>popravljalne ukrepe za</w:t>
      </w:r>
      <w:r>
        <w:t xml:space="preserve"> odpravo razkritih nepravilnosti. </w:t>
      </w:r>
    </w:p>
    <w:p w14:paraId="5187E6F9" w14:textId="77777777" w:rsidR="007843FE" w:rsidRDefault="007843FE" w:rsidP="007843FE">
      <w:pPr>
        <w:pStyle w:val="RStekst"/>
      </w:pPr>
    </w:p>
    <w:p w14:paraId="65B4B60C" w14:textId="77777777" w:rsidR="007843FE" w:rsidRDefault="007843FE" w:rsidP="007843FE">
      <w:pPr>
        <w:pStyle w:val="RStekst"/>
      </w:pPr>
    </w:p>
    <w:p w14:paraId="60B8D129" w14:textId="77777777" w:rsidR="007843FE" w:rsidRDefault="007843FE" w:rsidP="007843FE">
      <w:pPr>
        <w:pStyle w:val="RStekst"/>
      </w:pPr>
    </w:p>
    <w:p w14:paraId="2D3CF3D4" w14:textId="584111AA" w:rsidR="007843FE" w:rsidRDefault="007E1380" w:rsidP="00D2498A">
      <w:pPr>
        <w:pStyle w:val="RStekst"/>
      </w:pPr>
      <w:r>
        <w:t>Ljubljana, 19. marca 2019</w:t>
      </w:r>
      <w:bookmarkStart w:id="0" w:name="_GoBack"/>
      <w:bookmarkEnd w:id="0"/>
    </w:p>
    <w:p w14:paraId="1662CF01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BDE49" w14:textId="77777777" w:rsidR="007843FE" w:rsidRDefault="007843FE">
      <w:r>
        <w:separator/>
      </w:r>
    </w:p>
  </w:endnote>
  <w:endnote w:type="continuationSeparator" w:id="0">
    <w:p w14:paraId="47D177B2" w14:textId="77777777" w:rsidR="007843FE" w:rsidRDefault="0078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121FA" w14:textId="77777777" w:rsidR="00403379" w:rsidRDefault="0040337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9574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0337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CD2E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D501017" wp14:editId="13862BA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1BAC" w14:textId="77777777" w:rsidR="007843FE" w:rsidRDefault="007843FE">
      <w:r>
        <w:separator/>
      </w:r>
    </w:p>
  </w:footnote>
  <w:footnote w:type="continuationSeparator" w:id="0">
    <w:p w14:paraId="53444308" w14:textId="77777777" w:rsidR="007843FE" w:rsidRDefault="0078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C0A7" w14:textId="77777777" w:rsidR="00403379" w:rsidRDefault="0040337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F4A8" w14:textId="77777777" w:rsidR="00403379" w:rsidRDefault="0040337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076B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F5034BA" wp14:editId="5303A14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E"/>
    <w:rsid w:val="001E3435"/>
    <w:rsid w:val="001E7547"/>
    <w:rsid w:val="002C5DCD"/>
    <w:rsid w:val="002D37F3"/>
    <w:rsid w:val="002F2498"/>
    <w:rsid w:val="003535E4"/>
    <w:rsid w:val="00403379"/>
    <w:rsid w:val="00590644"/>
    <w:rsid w:val="005C34F4"/>
    <w:rsid w:val="005F6ED6"/>
    <w:rsid w:val="00647D7F"/>
    <w:rsid w:val="006A2AFA"/>
    <w:rsid w:val="00742630"/>
    <w:rsid w:val="007843FE"/>
    <w:rsid w:val="007E138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8C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5E1D3D-F027-4815-9E1A-EFABE86A4559}"/>
</file>

<file path=customXml/itemProps2.xml><?xml version="1.0" encoding="utf-8"?>
<ds:datastoreItem xmlns:ds="http://schemas.openxmlformats.org/officeDocument/2006/customXml" ds:itemID="{9893F339-613C-489B-A4F9-EF83A44BCB8C}"/>
</file>

<file path=customXml/itemProps3.xml><?xml version="1.0" encoding="utf-8"?>
<ds:datastoreItem xmlns:ds="http://schemas.openxmlformats.org/officeDocument/2006/customXml" ds:itemID="{FC9BC5AD-4D62-451A-9183-EC9CB893E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2019-03-13T07:40:00Z</dcterms:created>
  <dcterms:modified xsi:type="dcterms:W3CDTF">2019-03-13T07:40:00Z</dcterms:modified>
</cp:coreProperties>
</file>