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96DC8" w14:textId="77777777" w:rsidR="00735151" w:rsidRPr="0032383C" w:rsidRDefault="00735151" w:rsidP="00735151">
      <w:pPr>
        <w:jc w:val="center"/>
        <w:rPr>
          <w:rFonts w:ascii="Garamond" w:hAnsi="Garamond"/>
          <w:b/>
          <w:bCs/>
          <w:sz w:val="28"/>
          <w:szCs w:val="28"/>
        </w:rPr>
      </w:pPr>
      <w:r w:rsidRPr="0032383C">
        <w:rPr>
          <w:rFonts w:ascii="Garamond" w:hAnsi="Garamond"/>
          <w:b/>
          <w:bCs/>
          <w:sz w:val="28"/>
          <w:szCs w:val="28"/>
        </w:rPr>
        <w:t>IZJAVA O SEZNANITVI S STANJEM NA OBJEKTU</w:t>
      </w:r>
    </w:p>
    <w:p w14:paraId="15F5820D" w14:textId="77777777" w:rsidR="00735151" w:rsidRPr="0032383C" w:rsidRDefault="00735151" w:rsidP="00735151">
      <w:pPr>
        <w:pStyle w:val="RStekst"/>
      </w:pPr>
    </w:p>
    <w:p w14:paraId="068AF1E3" w14:textId="77777777" w:rsidR="00735151" w:rsidRPr="0032383C" w:rsidRDefault="00735151" w:rsidP="00735151">
      <w:pPr>
        <w:pStyle w:val="RStekst"/>
      </w:pPr>
    </w:p>
    <w:p w14:paraId="1B6E37AE" w14:textId="77777777" w:rsidR="00735151" w:rsidRPr="0032383C" w:rsidRDefault="00735151" w:rsidP="00735151">
      <w:pPr>
        <w:pStyle w:val="RStekst"/>
      </w:pPr>
      <w:r w:rsidRPr="0032383C">
        <w:t>________________________________________________________________________________</w:t>
      </w:r>
    </w:p>
    <w:p w14:paraId="6E5ADA1C" w14:textId="77777777" w:rsidR="00735151" w:rsidRPr="0032383C" w:rsidRDefault="00735151" w:rsidP="00735151">
      <w:pPr>
        <w:pStyle w:val="RStekst"/>
      </w:pPr>
      <w:r w:rsidRPr="0032383C">
        <w:t>(naziv in naslov ponudnika)</w:t>
      </w:r>
    </w:p>
    <w:p w14:paraId="2E6E6473" w14:textId="77777777" w:rsidR="00735151" w:rsidRPr="0032383C" w:rsidRDefault="00735151" w:rsidP="00735151">
      <w:pPr>
        <w:pStyle w:val="RStekst"/>
      </w:pPr>
    </w:p>
    <w:p w14:paraId="5C10686B" w14:textId="77777777" w:rsidR="00735151" w:rsidRPr="0032383C" w:rsidRDefault="00735151" w:rsidP="00735151">
      <w:pPr>
        <w:pStyle w:val="RStekst"/>
      </w:pPr>
    </w:p>
    <w:p w14:paraId="7C82A623" w14:textId="77777777" w:rsidR="00735151" w:rsidRPr="0032383C" w:rsidRDefault="00735151" w:rsidP="00735151">
      <w:pPr>
        <w:pStyle w:val="RStekst"/>
      </w:pPr>
      <w:r w:rsidRPr="0032383C">
        <w:t xml:space="preserve">V zvezi z javnim naročilom za </w:t>
      </w:r>
      <w:r w:rsidRPr="0032383C">
        <w:rPr>
          <w:b/>
          <w:szCs w:val="22"/>
        </w:rPr>
        <w:t>menjavo dvigal s triletnim vzdrževanjem v poslovnem objektu Slovenska</w:t>
      </w:r>
      <w:r>
        <w:rPr>
          <w:b/>
          <w:szCs w:val="22"/>
        </w:rPr>
        <w:t> </w:t>
      </w:r>
      <w:r w:rsidRPr="0032383C">
        <w:rPr>
          <w:b/>
          <w:szCs w:val="22"/>
        </w:rPr>
        <w:t>c. 50, Ljubljana</w:t>
      </w:r>
      <w:r w:rsidRPr="0032383C">
        <w:t xml:space="preserve">, oznaka naročila na Portalu javnih naročil </w:t>
      </w:r>
      <w:r>
        <w:t>_____________________</w:t>
      </w:r>
      <w:r w:rsidRPr="0032383C">
        <w:t>, pod kazensko in materialno odgovornostjo izjavljamo, da smo se s skrbnostjo strokovnjaka seznanili z lokacijo in stanjem obstoječega objekta, kjer se bodo izvajale storitve po predmetnem javnem naročilu, kar smo vse upoštevali pri pripravi ponudbe in oblikovanju cene.</w:t>
      </w:r>
    </w:p>
    <w:p w14:paraId="3B2C81AE" w14:textId="77777777" w:rsidR="00735151" w:rsidRPr="0032383C" w:rsidRDefault="00735151" w:rsidP="00735151">
      <w:pPr>
        <w:pStyle w:val="RStekst"/>
      </w:pPr>
    </w:p>
    <w:p w14:paraId="3577B885" w14:textId="77777777" w:rsidR="00735151" w:rsidRPr="0032383C" w:rsidRDefault="00735151" w:rsidP="00735151">
      <w:pPr>
        <w:pStyle w:val="RStekst"/>
      </w:pPr>
      <w:r w:rsidRPr="0032383C">
        <w:t>Seznanjeni smo, da naročnik ne bo priznaval dodatnih del, ki bi bila vezana na nepoznavanje objekta, lokacije in pogojev dela.</w:t>
      </w:r>
    </w:p>
    <w:p w14:paraId="4CEE84A8" w14:textId="77777777" w:rsidR="00735151" w:rsidRPr="0032383C" w:rsidRDefault="00735151" w:rsidP="00735151">
      <w:pPr>
        <w:rPr>
          <w:rFonts w:ascii="Garamond" w:hAnsi="Garamond"/>
        </w:rPr>
      </w:pPr>
    </w:p>
    <w:p w14:paraId="7563FFAA" w14:textId="77777777" w:rsidR="00735151" w:rsidRPr="0032383C" w:rsidRDefault="00735151" w:rsidP="00735151">
      <w:pPr>
        <w:rPr>
          <w:rFonts w:ascii="Garamond" w:hAnsi="Garamond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35151" w:rsidRPr="0032383C" w14:paraId="4A0066EF" w14:textId="77777777" w:rsidTr="001F6AD1">
        <w:tc>
          <w:tcPr>
            <w:tcW w:w="5778" w:type="dxa"/>
            <w:gridSpan w:val="2"/>
          </w:tcPr>
          <w:p w14:paraId="18540669" w14:textId="77777777" w:rsidR="00735151" w:rsidRPr="0032383C" w:rsidRDefault="00735151" w:rsidP="001F6AD1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433" w:type="dxa"/>
          </w:tcPr>
          <w:p w14:paraId="6A86A1F7" w14:textId="77777777" w:rsidR="00735151" w:rsidRPr="0032383C" w:rsidRDefault="00735151" w:rsidP="001F6AD1">
            <w:pPr>
              <w:pStyle w:val="RStekst"/>
              <w:rPr>
                <w:lang w:eastAsia="sl-SI"/>
              </w:rPr>
            </w:pPr>
            <w:r w:rsidRPr="0032383C">
              <w:t>Ponudnik:</w:t>
            </w:r>
          </w:p>
        </w:tc>
      </w:tr>
      <w:tr w:rsidR="00735151" w:rsidRPr="0032383C" w14:paraId="2D76C1E9" w14:textId="77777777" w:rsidTr="001F6AD1">
        <w:tc>
          <w:tcPr>
            <w:tcW w:w="5778" w:type="dxa"/>
            <w:gridSpan w:val="2"/>
          </w:tcPr>
          <w:p w14:paraId="0C79AF60" w14:textId="77777777" w:rsidR="00735151" w:rsidRPr="0032383C" w:rsidRDefault="00735151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3349B378" w14:textId="77777777" w:rsidR="00735151" w:rsidRPr="0032383C" w:rsidRDefault="00735151" w:rsidP="001F6AD1">
            <w:pPr>
              <w:pStyle w:val="RStekst"/>
              <w:rPr>
                <w:lang w:eastAsia="sl-SI"/>
              </w:rPr>
            </w:pPr>
          </w:p>
        </w:tc>
      </w:tr>
      <w:tr w:rsidR="00735151" w:rsidRPr="0032383C" w14:paraId="14051DB3" w14:textId="77777777" w:rsidTr="001F6AD1">
        <w:tc>
          <w:tcPr>
            <w:tcW w:w="2889" w:type="dxa"/>
          </w:tcPr>
          <w:p w14:paraId="3FF9CDC7" w14:textId="77777777" w:rsidR="00735151" w:rsidRPr="0032383C" w:rsidRDefault="00735151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</w:tcPr>
          <w:p w14:paraId="6D5825BB" w14:textId="77777777" w:rsidR="00735151" w:rsidRPr="0032383C" w:rsidRDefault="00735151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433" w:type="dxa"/>
          </w:tcPr>
          <w:p w14:paraId="69AC59FD" w14:textId="77777777" w:rsidR="00735151" w:rsidRPr="0032383C" w:rsidRDefault="00735151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</w:tbl>
    <w:p w14:paraId="235106E3" w14:textId="77777777" w:rsidR="00735151" w:rsidRPr="0032383C" w:rsidRDefault="00735151" w:rsidP="00735151">
      <w:pPr>
        <w:rPr>
          <w:rFonts w:ascii="Garamond" w:hAnsi="Garamond"/>
        </w:rPr>
      </w:pPr>
    </w:p>
    <w:p w14:paraId="76820868" w14:textId="77777777" w:rsidR="00735151" w:rsidRPr="0032383C" w:rsidRDefault="00735151" w:rsidP="00735151">
      <w:pPr>
        <w:rPr>
          <w:rFonts w:ascii="Garamond" w:hAnsi="Garamond"/>
        </w:rPr>
      </w:pPr>
    </w:p>
    <w:p w14:paraId="758964BB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151"/>
    <w:rsid w:val="0013429F"/>
    <w:rsid w:val="00567DC5"/>
    <w:rsid w:val="0057360F"/>
    <w:rsid w:val="005B06BB"/>
    <w:rsid w:val="005C547A"/>
    <w:rsid w:val="00696037"/>
    <w:rsid w:val="00735151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1E1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735151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735151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D13B7C-65CB-486D-8BCF-291985F00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4DB853-70B7-4996-B794-A4E421B5B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8C606-C619-4BC3-BF69-0CEA89486FD3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681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2017-08-10T09:33:00Z</dcterms:created>
  <dcterms:modified xsi:type="dcterms:W3CDTF">2017-08-10T09:34:00Z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